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1D6451B" w:rsidR="00E66558" w:rsidRDefault="009D71E8">
      <w:pPr>
        <w:pStyle w:val="Heading1"/>
      </w:pPr>
      <w:bookmarkStart w:id="0" w:name="_Toc400361362"/>
      <w:bookmarkStart w:id="1" w:name="_Toc443397153"/>
      <w:bookmarkStart w:id="2" w:name="_Toc357771638"/>
      <w:bookmarkStart w:id="3" w:name="_Toc346793416"/>
      <w:bookmarkStart w:id="4" w:name="_Toc328122777"/>
      <w:r>
        <w:t xml:space="preserve">Pupil </w:t>
      </w:r>
      <w:r w:rsidR="00C91108">
        <w:t>P</w:t>
      </w:r>
      <w:r>
        <w:t xml:space="preserve">remium </w:t>
      </w:r>
      <w:r w:rsidR="00C91108">
        <w:t>S</w:t>
      </w:r>
      <w:r>
        <w:t xml:space="preserve">trategy </w:t>
      </w:r>
      <w:r w:rsidR="00C91108">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w:t>
      </w:r>
      <w:r w:rsidR="00C91108">
        <w:t>Chadlington CE Primary School, April 2023</w:t>
      </w:r>
    </w:p>
    <w:p w14:paraId="16B48015" w14:textId="2E435619" w:rsidR="00E66558" w:rsidRDefault="009D71E8" w:rsidP="00C62989">
      <w:pPr>
        <w:rPr>
          <w:b/>
        </w:rPr>
      </w:pPr>
      <w:r>
        <w:t xml:space="preserve">This statement details our school’s use of pupil premium </w:t>
      </w:r>
      <w:r w:rsidR="00720FF3">
        <w:t xml:space="preserve">and recovery premium </w:t>
      </w:r>
      <w:r>
        <w:t xml:space="preserve">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F681C02" w:rsidR="002940F3" w:rsidRDefault="00294AA4">
            <w:pPr>
              <w:pStyle w:val="TableRow"/>
            </w:pPr>
            <w:r>
              <w:t>104</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5F34454" w:rsidR="002940F3" w:rsidRDefault="00294AA4">
            <w:pPr>
              <w:pStyle w:val="TableRow"/>
            </w:pPr>
            <w:r w:rsidRPr="00407D4E">
              <w:rPr>
                <w:color w:val="000000" w:themeColor="text1"/>
              </w:rPr>
              <w:t>29</w:t>
            </w:r>
            <w:r w:rsidR="00EA360A" w:rsidRPr="00407D4E">
              <w:rPr>
                <w:color w:val="000000" w:themeColor="text1"/>
              </w:rPr>
              <w:t xml:space="preserve"> </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152183F" w:rsidR="002940F3" w:rsidRDefault="002940F3">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F334A68" w:rsidR="002940F3" w:rsidRDefault="00D91208">
            <w:pPr>
              <w:pStyle w:val="TableRow"/>
            </w:pPr>
            <w:r>
              <w:t>2023 - 2024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B714643" w:rsidR="002940F3" w:rsidRDefault="00D91208">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9E10001" w:rsidR="002940F3" w:rsidRDefault="00D91208">
            <w:pPr>
              <w:pStyle w:val="TableRow"/>
            </w:pPr>
            <w:r>
              <w:t>December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CA78CEC" w:rsidR="002940F3" w:rsidRDefault="00D91208">
            <w:pPr>
              <w:pStyle w:val="TableRow"/>
            </w:pPr>
            <w:r>
              <w:t>Governing Body</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0214012" w:rsidR="002940F3" w:rsidRDefault="00D91208">
            <w:pPr>
              <w:pStyle w:val="TableRow"/>
            </w:pPr>
            <w:r>
              <w:t>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ADCE51" w:rsidR="002940F3" w:rsidRDefault="002940F3">
            <w:pPr>
              <w:pStyle w:val="TableRow"/>
            </w:pPr>
            <w:r>
              <w:t xml:space="preserve">Governor </w:t>
            </w:r>
            <w:proofErr w:type="gramStart"/>
            <w:r>
              <w:t>lead</w:t>
            </w:r>
            <w:proofErr w:type="gramEnd"/>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17D8767" w:rsidR="00E66558" w:rsidRDefault="009D71E8">
            <w:pPr>
              <w:pStyle w:val="TableRow"/>
            </w:pPr>
            <w:r>
              <w:t>£</w:t>
            </w:r>
            <w:r w:rsidR="00EC71EF">
              <w:t>45,420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548F357" w:rsidR="00E66558" w:rsidRDefault="009D71E8">
            <w:pPr>
              <w:pStyle w:val="TableRow"/>
            </w:pPr>
            <w:r>
              <w:t>£</w:t>
            </w:r>
            <w:r w:rsidR="00EC71EF">
              <w:t>1051</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AAC352A" w:rsidR="00E66558" w:rsidRDefault="009D71E8">
            <w:pPr>
              <w:pStyle w:val="TableRow"/>
            </w:pPr>
            <w:r>
              <w:t>£</w:t>
            </w:r>
            <w:r w:rsidR="00EC71EF">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0B803699"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3EA6EC3" w:rsidR="00E66558" w:rsidRDefault="009D71E8">
            <w:pPr>
              <w:pStyle w:val="TableRow"/>
            </w:pPr>
            <w:r>
              <w:t>£</w:t>
            </w:r>
            <w:r w:rsidR="00EC71EF">
              <w:t>46,471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p w14:paraId="392154FF" w14:textId="77777777" w:rsidR="003E6528" w:rsidRDefault="008C4CD6" w:rsidP="003E6528">
      <w:r>
        <w:t>Our intention is that all pupils, irrespective of their background or the challenges they face, make good progress and achieve high attainment across all subject areas so that they are well prepared for the next stage in their education. We aim to develop children’s aspirations</w:t>
      </w:r>
      <w:r w:rsidR="00BC3557">
        <w:t xml:space="preserve">, </w:t>
      </w:r>
      <w:proofErr w:type="gramStart"/>
      <w:r w:rsidR="00BC3557">
        <w:t>imagination</w:t>
      </w:r>
      <w:proofErr w:type="gramEnd"/>
      <w:r w:rsidR="00BC3557">
        <w:t xml:space="preserve"> and </w:t>
      </w:r>
      <w:r>
        <w:t>self-belief so that they flourish both academically and socially and can reach their full potential as active citizens and life-long learners</w:t>
      </w:r>
      <w:r w:rsidR="00BC3557">
        <w:t>.</w:t>
      </w:r>
      <w:r w:rsidR="000561C8">
        <w:t xml:space="preserve"> Our strategy is underpinned by our values: </w:t>
      </w:r>
      <w:r w:rsidR="000561C8" w:rsidRPr="000561C8">
        <w:rPr>
          <w:i/>
          <w:iCs/>
        </w:rPr>
        <w:t>‘Let your light shine: imagine, believe, achieve’</w:t>
      </w:r>
      <w:r w:rsidR="000561C8">
        <w:t xml:space="preserve">. </w:t>
      </w:r>
      <w:r w:rsidR="00930F8A">
        <w:t>Developing readiness to learn and ensuring h</w:t>
      </w:r>
      <w:r w:rsidR="00E65D21">
        <w:t xml:space="preserve">igh-quality teaching is at the heart of our approach, with a focus on areas in which disadvantaged pupils require the most support. This is proven to have the greatest impact on closing the disadvantage attainment gap. </w:t>
      </w:r>
    </w:p>
    <w:p w14:paraId="58A0D847" w14:textId="77777777" w:rsidR="003E6528" w:rsidRDefault="003E6528" w:rsidP="003E652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EDB3" w14:textId="77777777" w:rsidR="00014EC7" w:rsidRPr="00014EC7" w:rsidRDefault="00014EC7">
            <w:pPr>
              <w:pStyle w:val="TableRowCentered"/>
              <w:jc w:val="left"/>
              <w:rPr>
                <w:b/>
                <w:bCs/>
                <w:sz w:val="22"/>
                <w:szCs w:val="22"/>
              </w:rPr>
            </w:pPr>
            <w:r w:rsidRPr="00014EC7">
              <w:rPr>
                <w:b/>
                <w:bCs/>
                <w:sz w:val="22"/>
                <w:szCs w:val="22"/>
              </w:rPr>
              <w:t>Attendance</w:t>
            </w:r>
          </w:p>
          <w:p w14:paraId="2A7D54F1" w14:textId="2916AE14" w:rsidR="00E66558" w:rsidRPr="00A150C2" w:rsidRDefault="00A150C2">
            <w:pPr>
              <w:pStyle w:val="TableRowCentered"/>
              <w:jc w:val="left"/>
            </w:pPr>
            <w:r w:rsidRPr="00A150C2">
              <w:rPr>
                <w:sz w:val="22"/>
                <w:szCs w:val="22"/>
              </w:rPr>
              <w:t>Attendance</w:t>
            </w:r>
            <w:r w:rsidR="003704EE">
              <w:rPr>
                <w:sz w:val="22"/>
                <w:szCs w:val="22"/>
              </w:rPr>
              <w:t xml:space="preserve"> data shows that the attendance rate for disadvantaged pupils is</w:t>
            </w:r>
            <w:r w:rsidRPr="00A150C2">
              <w:rPr>
                <w:sz w:val="22"/>
                <w:szCs w:val="22"/>
              </w:rPr>
              <w:t xml:space="preserve"> </w:t>
            </w:r>
            <w:r w:rsidR="00DD6C28">
              <w:rPr>
                <w:sz w:val="22"/>
                <w:szCs w:val="22"/>
              </w:rPr>
              <w:t>88.88%</w:t>
            </w:r>
            <w:r w:rsidR="003704EE">
              <w:rPr>
                <w:sz w:val="22"/>
                <w:szCs w:val="22"/>
              </w:rPr>
              <w:t xml:space="preserve">, with </w:t>
            </w:r>
            <w:r w:rsidR="004D255F">
              <w:rPr>
                <w:sz w:val="22"/>
                <w:szCs w:val="22"/>
              </w:rPr>
              <w:t>11</w:t>
            </w:r>
            <w:r w:rsidR="00DD6C28">
              <w:rPr>
                <w:sz w:val="22"/>
                <w:szCs w:val="22"/>
              </w:rPr>
              <w:t xml:space="preserve"> </w:t>
            </w:r>
            <w:r w:rsidR="003704EE">
              <w:rPr>
                <w:sz w:val="22"/>
                <w:szCs w:val="22"/>
              </w:rPr>
              <w:t>pupils categorised as persistent ab</w:t>
            </w:r>
            <w:r w:rsidR="00DD6C28">
              <w:rPr>
                <w:sz w:val="22"/>
                <w:szCs w:val="22"/>
              </w:rPr>
              <w:t>s</w:t>
            </w:r>
            <w:r w:rsidR="003704EE">
              <w:rPr>
                <w:sz w:val="22"/>
                <w:szCs w:val="22"/>
              </w:rPr>
              <w:t xml:space="preserve">entees. This </w:t>
            </w:r>
            <w:r w:rsidR="00E877B1">
              <w:rPr>
                <w:sz w:val="22"/>
                <w:szCs w:val="22"/>
              </w:rPr>
              <w:t xml:space="preserve">profoundly impacts academic </w:t>
            </w:r>
            <w:r w:rsidR="003704EE">
              <w:rPr>
                <w:sz w:val="22"/>
                <w:szCs w:val="22"/>
              </w:rPr>
              <w:t xml:space="preserve">outcomes for </w:t>
            </w:r>
            <w:r w:rsidR="00E877B1">
              <w:rPr>
                <w:sz w:val="22"/>
                <w:szCs w:val="22"/>
              </w:rPr>
              <w:t>disadvantaged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C719D" w14:textId="77777777" w:rsidR="00E66558" w:rsidRDefault="00BA55EB">
            <w:pPr>
              <w:pStyle w:val="TableRowCentered"/>
              <w:jc w:val="left"/>
              <w:rPr>
                <w:b/>
                <w:bCs/>
                <w:sz w:val="22"/>
                <w:szCs w:val="22"/>
              </w:rPr>
            </w:pPr>
            <w:r w:rsidRPr="00014EC7">
              <w:rPr>
                <w:b/>
                <w:bCs/>
                <w:sz w:val="22"/>
                <w:szCs w:val="22"/>
              </w:rPr>
              <w:t>Achievement</w:t>
            </w:r>
          </w:p>
          <w:p w14:paraId="2A7D54F4" w14:textId="39650910" w:rsidR="00014EC7" w:rsidRPr="008C3C9B" w:rsidRDefault="00014EC7" w:rsidP="008C3C9B">
            <w:pPr>
              <w:pStyle w:val="TableRowCentered"/>
              <w:ind w:left="0"/>
              <w:jc w:val="left"/>
              <w:rPr>
                <w:szCs w:val="24"/>
              </w:rPr>
            </w:pPr>
            <w:r w:rsidRPr="000E0D52">
              <w:rPr>
                <w:szCs w:val="24"/>
              </w:rPr>
              <w:t xml:space="preserve">Disruption to the children’s education due to Covid-19 has had a </w:t>
            </w:r>
            <w:r>
              <w:rPr>
                <w:szCs w:val="24"/>
              </w:rPr>
              <w:t>particularly</w:t>
            </w:r>
            <w:r w:rsidRPr="000E0D52">
              <w:rPr>
                <w:szCs w:val="24"/>
              </w:rPr>
              <w:t xml:space="preserve"> negative impact on outcomes</w:t>
            </w:r>
            <w:r>
              <w:rPr>
                <w:szCs w:val="24"/>
              </w:rPr>
              <w:t xml:space="preserve"> for disadvantaged pupils. High quality</w:t>
            </w:r>
            <w:r w:rsidRPr="000E0D52">
              <w:rPr>
                <w:szCs w:val="24"/>
              </w:rPr>
              <w:t xml:space="preserve"> teaching and carefully selected interventions are crucial to narrowing the gaps between these pupils and their peers. Internal and external assessments indicate that basic numeracy and literacy skills among disadvantaged pupils are significantly below those of their peers.</w:t>
            </w:r>
            <w:r w:rsidR="008C3C9B">
              <w:rPr>
                <w:szCs w:val="24"/>
              </w:rPr>
              <w:t xml:space="preserve"> </w:t>
            </w:r>
            <w:r w:rsidRPr="000E0D52">
              <w:rPr>
                <w:szCs w:val="24"/>
              </w:rPr>
              <w:t>Based on June 2023 internal data</w:t>
            </w:r>
            <w:r w:rsidR="00E877B1">
              <w:rPr>
                <w:szCs w:val="24"/>
              </w:rPr>
              <w:t>, 57% of disadvantaged pupils across the school are attaining the expected standard in Reading, 23% in Writing and 43% in Maths</w:t>
            </w:r>
            <w:r w:rsidR="008C3C9B">
              <w:rPr>
                <w:szCs w:val="24"/>
              </w:rPr>
              <w:t>. This is well below the attainment of their non-disadvantaged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DFF23" w14:textId="08A194F0" w:rsidR="00E66558" w:rsidRDefault="00BA55EB">
            <w:pPr>
              <w:pStyle w:val="TableRowCentered"/>
              <w:jc w:val="left"/>
              <w:rPr>
                <w:b/>
                <w:bCs/>
                <w:sz w:val="22"/>
                <w:szCs w:val="22"/>
              </w:rPr>
            </w:pPr>
            <w:r w:rsidRPr="008C3C9B">
              <w:rPr>
                <w:b/>
                <w:bCs/>
                <w:sz w:val="22"/>
                <w:szCs w:val="22"/>
              </w:rPr>
              <w:t xml:space="preserve">Health </w:t>
            </w:r>
            <w:r w:rsidR="008C3C9B">
              <w:rPr>
                <w:b/>
                <w:bCs/>
                <w:sz w:val="22"/>
                <w:szCs w:val="22"/>
              </w:rPr>
              <w:t>and wellbeing</w:t>
            </w:r>
          </w:p>
          <w:p w14:paraId="2A7D54F7" w14:textId="36F1EC0A" w:rsidR="008C3C9B" w:rsidRPr="008C3C9B" w:rsidRDefault="008C3C9B" w:rsidP="006C06BD">
            <w:pPr>
              <w:pStyle w:val="TableRowCentered"/>
              <w:jc w:val="left"/>
              <w:rPr>
                <w:b/>
                <w:bCs/>
                <w:sz w:val="22"/>
                <w:szCs w:val="22"/>
              </w:rPr>
            </w:pPr>
            <w:r w:rsidRPr="005F1130">
              <w:rPr>
                <w:sz w:val="22"/>
                <w:szCs w:val="22"/>
              </w:rPr>
              <w:t>Poor health and wellbeing have a negative effect on the attendance of disadvantaged pupils, so that good progress made when pupils are in school is frequently interrupted</w:t>
            </w:r>
            <w:r w:rsidR="005F1130" w:rsidRPr="005F1130">
              <w:rPr>
                <w:sz w:val="22"/>
                <w:szCs w:val="22"/>
              </w:rPr>
              <w:t>, preventing children from catching up with non-disadvantaged peers.</w:t>
            </w:r>
            <w:r w:rsidR="005F1130">
              <w:rPr>
                <w:sz w:val="22"/>
                <w:szCs w:val="22"/>
              </w:rPr>
              <w:t xml:space="preserve"> In some </w:t>
            </w:r>
            <w:r w:rsidR="00407D4E">
              <w:rPr>
                <w:sz w:val="22"/>
                <w:szCs w:val="22"/>
              </w:rPr>
              <w:t>cases,</w:t>
            </w:r>
            <w:r w:rsidR="005F1130">
              <w:rPr>
                <w:sz w:val="22"/>
                <w:szCs w:val="22"/>
              </w:rPr>
              <w:t xml:space="preserve"> unhealthy lifestyles affect </w:t>
            </w:r>
            <w:proofErr w:type="gramStart"/>
            <w:r w:rsidR="005F1130">
              <w:rPr>
                <w:sz w:val="22"/>
                <w:szCs w:val="22"/>
              </w:rPr>
              <w:t>pupils</w:t>
            </w:r>
            <w:proofErr w:type="gramEnd"/>
            <w:r w:rsidR="005F1130">
              <w:rPr>
                <w:sz w:val="22"/>
                <w:szCs w:val="22"/>
              </w:rPr>
              <w:t xml:space="preserve"> readiness to learn</w:t>
            </w:r>
            <w:r w:rsidR="006C06BD">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9C43" w14:textId="77777777" w:rsidR="00F15FD2" w:rsidRPr="00F15FD2" w:rsidRDefault="00F15FD2">
            <w:pPr>
              <w:pStyle w:val="TableRowCentered"/>
              <w:jc w:val="left"/>
              <w:rPr>
                <w:b/>
                <w:bCs/>
              </w:rPr>
            </w:pPr>
            <w:r w:rsidRPr="00F15FD2">
              <w:rPr>
                <w:b/>
                <w:bCs/>
              </w:rPr>
              <w:t>Speech and Language</w:t>
            </w:r>
          </w:p>
          <w:p w14:paraId="2A7D54FA" w14:textId="6995F122" w:rsidR="00E66558" w:rsidRDefault="006C06BD">
            <w:pPr>
              <w:pStyle w:val="TableRowCentered"/>
              <w:jc w:val="left"/>
              <w:rPr>
                <w:iCs/>
                <w:sz w:val="22"/>
              </w:rPr>
            </w:pPr>
            <w:r w:rsidRPr="00AD0500">
              <w:t xml:space="preserve">Assessments, </w:t>
            </w:r>
            <w:proofErr w:type="gramStart"/>
            <w:r w:rsidRPr="00AD0500">
              <w:t>observations</w:t>
            </w:r>
            <w:proofErr w:type="gramEnd"/>
            <w:r w:rsidRPr="00AD0500">
              <w:t xml:space="preserve"> and discussions with pupils indicate </w:t>
            </w:r>
            <w:r w:rsidRPr="00AD0500">
              <w:t>underdeveloped</w:t>
            </w:r>
            <w:r w:rsidRPr="00AD0500">
              <w:t xml:space="preserve"> oral language skills and vocabulary gaps among a </w:t>
            </w:r>
            <w:r w:rsidRPr="00AD0500">
              <w:lastRenderedPageBreak/>
              <w:t xml:space="preserve">group of disadvantaged pupils. These are </w:t>
            </w:r>
            <w:r>
              <w:t xml:space="preserve">particularly </w:t>
            </w:r>
            <w:r w:rsidRPr="00AD0500">
              <w:t>evident in Reception where pupils perform less well in Communication and Language (particularly speech and language) than their non-disadvantaged peers</w:t>
            </w:r>
            <w:r>
              <w:t>. This has been an ongoing trend</w:t>
            </w:r>
            <w:r w:rsidRPr="00AD0500">
              <w:t>. Covid lockdowns</w:t>
            </w:r>
            <w:r>
              <w:t xml:space="preserve"> </w:t>
            </w:r>
            <w:r w:rsidRPr="00AD0500">
              <w:t xml:space="preserve">limited children's </w:t>
            </w:r>
            <w:r>
              <w:t xml:space="preserve">early </w:t>
            </w:r>
            <w:r w:rsidRPr="00AD0500">
              <w:t>experience with communicating with peers. Higher up the school</w:t>
            </w:r>
            <w:r>
              <w:t xml:space="preserve"> </w:t>
            </w:r>
            <w:r w:rsidRPr="00AD0500">
              <w:t>vocabulary gaps are evident in KS2</w:t>
            </w:r>
            <w:r>
              <w:t>, which affects wider learning outcomes.</w:t>
            </w:r>
            <w:r w:rsidRPr="00AD0500">
              <w:t xml:space="preserve"> </w:t>
            </w:r>
          </w:p>
        </w:tc>
      </w:tr>
    </w:tbl>
    <w:p w14:paraId="2A7D54FF" w14:textId="77777777" w:rsidR="00E66558" w:rsidRDefault="009D71E8">
      <w:pPr>
        <w:pStyle w:val="Heading2"/>
        <w:spacing w:before="600"/>
      </w:pPr>
      <w:bookmarkStart w:id="16" w:name="_Toc443397160"/>
      <w:r>
        <w:lastRenderedPageBreak/>
        <w:t xml:space="preserve">Intended </w:t>
      </w:r>
      <w:proofErr w:type="gramStart"/>
      <w:r w:rsidRPr="00A968DA">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2125911" w:rsidR="00E66558" w:rsidRDefault="00332880">
            <w:pPr>
              <w:pStyle w:val="TableRow"/>
            </w:pPr>
            <w:r w:rsidRPr="00CC21E0">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38AF" w14:textId="77777777" w:rsidR="00100274" w:rsidRPr="00CC21E0" w:rsidRDefault="00100274" w:rsidP="00100274">
            <w:pPr>
              <w:pStyle w:val="TableRowCentered"/>
              <w:jc w:val="left"/>
              <w:rPr>
                <w:szCs w:val="24"/>
              </w:rPr>
            </w:pPr>
            <w:r w:rsidRPr="00CC21E0">
              <w:rPr>
                <w:szCs w:val="24"/>
              </w:rPr>
              <w:t xml:space="preserve">Sustained high attendance from 2023/24 demonstrated by: </w:t>
            </w:r>
          </w:p>
          <w:p w14:paraId="1902522B" w14:textId="75FE8C1F" w:rsidR="00100274" w:rsidRPr="00CC21E0" w:rsidRDefault="00100274" w:rsidP="00100274">
            <w:pPr>
              <w:pStyle w:val="TableRowCentered"/>
              <w:jc w:val="left"/>
              <w:rPr>
                <w:szCs w:val="24"/>
              </w:rPr>
            </w:pPr>
            <w:r w:rsidRPr="00CC21E0">
              <w:rPr>
                <w:szCs w:val="24"/>
              </w:rPr>
              <w:sym w:font="Symbol" w:char="F0B7"/>
            </w:r>
            <w:r w:rsidRPr="00CC21E0">
              <w:rPr>
                <w:szCs w:val="24"/>
              </w:rPr>
              <w:t xml:space="preserve"> the overall attendance of all pupils bei</w:t>
            </w:r>
            <w:r>
              <w:rPr>
                <w:szCs w:val="24"/>
              </w:rPr>
              <w:t>ng at least 96% by July</w:t>
            </w:r>
            <w:r w:rsidRPr="00CC21E0">
              <w:rPr>
                <w:szCs w:val="24"/>
              </w:rPr>
              <w:t xml:space="preserve"> </w:t>
            </w:r>
            <w:r>
              <w:rPr>
                <w:szCs w:val="24"/>
              </w:rPr>
              <w:t>2024</w:t>
            </w:r>
            <w:r w:rsidRPr="00CC21E0">
              <w:rPr>
                <w:szCs w:val="24"/>
              </w:rPr>
              <w:t xml:space="preserve">. </w:t>
            </w:r>
          </w:p>
          <w:p w14:paraId="0916EA45" w14:textId="77777777" w:rsidR="00100274" w:rsidRPr="003D72B1" w:rsidRDefault="00100274" w:rsidP="00100274">
            <w:pPr>
              <w:pStyle w:val="TableRowCentered"/>
              <w:jc w:val="left"/>
              <w:rPr>
                <w:szCs w:val="24"/>
              </w:rPr>
            </w:pPr>
            <w:r w:rsidRPr="00CC21E0">
              <w:rPr>
                <w:szCs w:val="24"/>
              </w:rPr>
              <w:sym w:font="Symbol" w:char="F0B7"/>
            </w:r>
            <w:r w:rsidRPr="00CC21E0">
              <w:rPr>
                <w:szCs w:val="24"/>
              </w:rPr>
              <w:t xml:space="preserve"> the attendance of disadvantaged pupils </w:t>
            </w:r>
            <w:r>
              <w:rPr>
                <w:szCs w:val="24"/>
              </w:rPr>
              <w:t>being above 95% by July</w:t>
            </w:r>
            <w:r w:rsidRPr="00CC21E0">
              <w:rPr>
                <w:szCs w:val="24"/>
              </w:rPr>
              <w:t xml:space="preserve"> </w:t>
            </w:r>
            <w:r w:rsidRPr="003D72B1">
              <w:rPr>
                <w:szCs w:val="24"/>
              </w:rPr>
              <w:t xml:space="preserve">2025/26. </w:t>
            </w:r>
          </w:p>
          <w:p w14:paraId="2A7D5505" w14:textId="2E82020B" w:rsidR="00E66558" w:rsidRDefault="00100274" w:rsidP="00100274">
            <w:pPr>
              <w:pStyle w:val="TableRowCentered"/>
              <w:jc w:val="left"/>
              <w:rPr>
                <w:sz w:val="22"/>
                <w:szCs w:val="22"/>
              </w:rPr>
            </w:pPr>
            <w:r w:rsidRPr="003D72B1">
              <w:rPr>
                <w:szCs w:val="24"/>
              </w:rPr>
              <w:sym w:font="Symbol" w:char="F0B7"/>
            </w:r>
            <w:r w:rsidRPr="003D72B1">
              <w:rPr>
                <w:szCs w:val="24"/>
              </w:rPr>
              <w:t xml:space="preserve"> Proportion of disadvantaged pupils who are persistently absent (less than 90% attendance) is </w:t>
            </w:r>
            <w:r>
              <w:rPr>
                <w:szCs w:val="24"/>
              </w:rPr>
              <w:t>below</w:t>
            </w:r>
            <w:r w:rsidR="00147770">
              <w:rPr>
                <w:szCs w:val="24"/>
              </w:rPr>
              <w:t xml:space="preserve"> 5%</w:t>
            </w:r>
            <w:r w:rsidRPr="003D72B1">
              <w:rPr>
                <w:szCs w:val="24"/>
              </w:rPr>
              <w:t xml:space="preserve"> by July 202</w:t>
            </w:r>
            <w:r w:rsidR="00147770">
              <w:rPr>
                <w:szCs w:val="24"/>
              </w:rPr>
              <w:t>4</w:t>
            </w:r>
            <w:r w:rsidRPr="003D72B1">
              <w:rPr>
                <w:szCs w:val="24"/>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31DE7C" w:rsidR="00E66558" w:rsidRDefault="00D764F3">
            <w:pPr>
              <w:pStyle w:val="TableRow"/>
              <w:rPr>
                <w:sz w:val="22"/>
                <w:szCs w:val="22"/>
              </w:rPr>
            </w:pPr>
            <w:r>
              <w:t xml:space="preserve">Improved reading, writing, </w:t>
            </w:r>
            <w:proofErr w:type="gramStart"/>
            <w:r>
              <w:t>maths</w:t>
            </w:r>
            <w:proofErr w:type="gramEnd"/>
            <w:r>
              <w:t xml:space="preserve"> and SPAG attainment among disadvantaged pupils (at age related expectations and at greater depth).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4F2959B" w:rsidR="00E66558" w:rsidRDefault="006F2DEA">
            <w:pPr>
              <w:pStyle w:val="TableRowCentered"/>
              <w:jc w:val="left"/>
              <w:rPr>
                <w:sz w:val="22"/>
                <w:szCs w:val="22"/>
              </w:rPr>
            </w:pPr>
            <w:r>
              <w:t>KS2 reading, writing,</w:t>
            </w:r>
            <w:r w:rsidRPr="00AB2106">
              <w:t xml:space="preserve"> maths and SPAG</w:t>
            </w:r>
            <w:r>
              <w:t xml:space="preserve"> outcomes show that more than 70</w:t>
            </w:r>
            <w:r w:rsidRPr="00AB2106">
              <w:t xml:space="preserve">% of disadvantaged pupils </w:t>
            </w:r>
            <w:r w:rsidRPr="000D1CC2">
              <w:t xml:space="preserve">meet the expected standard </w:t>
            </w:r>
            <w:r w:rsidR="00296AB7">
              <w:t xml:space="preserve">or above </w:t>
            </w:r>
            <w:r w:rsidRPr="000D1CC2">
              <w:t>by July 20025/26.</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FD13948" w:rsidR="00E66558" w:rsidRDefault="00D764F3">
            <w:pPr>
              <w:pStyle w:val="TableRow"/>
              <w:rPr>
                <w:sz w:val="22"/>
                <w:szCs w:val="22"/>
              </w:rPr>
            </w:pPr>
            <w:r>
              <w:t>Improved knowledge of phonics among disadvantaged pupils</w:t>
            </w:r>
            <w:r w:rsidRPr="00CC21E0">
              <w:t xml:space="preserve"> </w:t>
            </w:r>
            <w:r w:rsidRPr="00CC21E0">
              <w:t>Improved language skills and vocabulary.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F727909" w:rsidR="00E66558" w:rsidRDefault="00C17E21">
            <w:pPr>
              <w:pStyle w:val="TableRowCentered"/>
              <w:jc w:val="left"/>
              <w:rPr>
                <w:sz w:val="22"/>
                <w:szCs w:val="22"/>
              </w:rPr>
            </w:pPr>
            <w:r>
              <w:t>The percentages of disadvantaged pupils passing their phonics screening check in Y1 and Y2 2025/2026 are comparable to their non-disadvantaged peers.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95ED63F" w:rsidR="00E66558" w:rsidRDefault="00F15FD2">
            <w:pPr>
              <w:pStyle w:val="TableRow"/>
              <w:rPr>
                <w:sz w:val="22"/>
                <w:szCs w:val="22"/>
              </w:rPr>
            </w:pPr>
            <w:r>
              <w:t>Improved health and fitness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B875" w14:textId="68222C98" w:rsidR="00093B15" w:rsidRDefault="00093B15" w:rsidP="00093B15">
            <w:pPr>
              <w:pStyle w:val="TableRowCentered"/>
              <w:jc w:val="left"/>
            </w:pPr>
            <w:r>
              <w:t xml:space="preserve">Sustained high levels of wellbeing </w:t>
            </w:r>
            <w:r>
              <w:t xml:space="preserve">by July 2025 </w:t>
            </w:r>
            <w:r>
              <w:t xml:space="preserve">demonstrated by: </w:t>
            </w:r>
          </w:p>
          <w:p w14:paraId="203163EE" w14:textId="77777777" w:rsidR="00093B15" w:rsidRDefault="00093B15" w:rsidP="00093B15">
            <w:pPr>
              <w:pStyle w:val="TableRowCentered"/>
              <w:jc w:val="left"/>
            </w:pPr>
            <w:r>
              <w:sym w:font="Symbol" w:char="F0B7"/>
            </w:r>
            <w:r>
              <w:t xml:space="preserve"> qualitative data from student voice, </w:t>
            </w:r>
            <w:proofErr w:type="gramStart"/>
            <w:r>
              <w:t>surveys</w:t>
            </w:r>
            <w:proofErr w:type="gramEnd"/>
            <w:r>
              <w:t xml:space="preserve"> and teacher observations </w:t>
            </w:r>
          </w:p>
          <w:p w14:paraId="21D36BDE" w14:textId="77777777" w:rsidR="00093B15" w:rsidRDefault="00093B15" w:rsidP="00093B15">
            <w:pPr>
              <w:pStyle w:val="TableRowCentered"/>
              <w:jc w:val="left"/>
            </w:pPr>
            <w:r>
              <w:sym w:font="Symbol" w:char="F0B7"/>
            </w:r>
            <w:r>
              <w:t xml:space="preserve"> a significant increase in participation in enrichment activities, particularly among disadvantaged pupils </w:t>
            </w:r>
          </w:p>
          <w:p w14:paraId="2A7D550E" w14:textId="46DDE549" w:rsidR="00E66558" w:rsidRDefault="00093B15" w:rsidP="00093B15">
            <w:pPr>
              <w:pStyle w:val="TableRowCentered"/>
              <w:jc w:val="left"/>
              <w:rPr>
                <w:sz w:val="22"/>
                <w:szCs w:val="22"/>
              </w:rPr>
            </w:pPr>
            <w:r>
              <w:sym w:font="Symbol" w:char="F0B7"/>
            </w:r>
            <w:r>
              <w:t xml:space="preserve"> improved attendance (see above)</w:t>
            </w:r>
          </w:p>
        </w:tc>
      </w:tr>
      <w:tr w:rsidR="00F15FD2" w14:paraId="2A880B1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4C0F" w14:textId="6249D73A" w:rsidR="00F15FD2" w:rsidRDefault="00F15FD2">
            <w:pPr>
              <w:pStyle w:val="TableRow"/>
            </w:pPr>
            <w:r w:rsidRPr="00CC21E0">
              <w:t>Improved oral language skills and vocabulary.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D97A" w14:textId="416EDD7F" w:rsidR="00F15FD2" w:rsidRDefault="00BD07EA" w:rsidP="00BD07EA">
            <w:pPr>
              <w:pStyle w:val="TableRowCentered"/>
              <w:jc w:val="left"/>
              <w:rPr>
                <w:sz w:val="22"/>
                <w:szCs w:val="22"/>
              </w:rPr>
            </w:pPr>
            <w:r w:rsidRPr="00CC21E0">
              <w:rPr>
                <w:szCs w:val="24"/>
              </w:rPr>
              <w:t xml:space="preserve">Assessments and observations will indicate significantly improved oral language among disadvantaged peers. This will be evident when triangulated </w:t>
            </w:r>
            <w:r w:rsidRPr="00CC21E0">
              <w:rPr>
                <w:szCs w:val="24"/>
              </w:rPr>
              <w:lastRenderedPageBreak/>
              <w:t>with other sources of evidence, including engagement in lessons, book scrutiny and ongoing formative assessment.</w:t>
            </w:r>
          </w:p>
        </w:tc>
      </w:tr>
    </w:tbl>
    <w:p w14:paraId="60BAD9F6" w14:textId="77777777" w:rsidR="00120AB1" w:rsidRDefault="00120AB1" w:rsidP="00ED5108"/>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5" w14:textId="6D7F9C93" w:rsidR="00E66558" w:rsidRDefault="009D71E8" w:rsidP="006416A0">
      <w:pPr>
        <w:pStyle w:val="Heading3"/>
      </w:pPr>
      <w:r>
        <w:t>Teaching (for example, CPD, recruitment and retention)</w:t>
      </w:r>
    </w:p>
    <w:tbl>
      <w:tblPr>
        <w:tblW w:w="5000" w:type="pct"/>
        <w:tblCellMar>
          <w:left w:w="10" w:type="dxa"/>
          <w:right w:w="10" w:type="dxa"/>
        </w:tblCellMar>
        <w:tblLook w:val="04A0" w:firstRow="1" w:lastRow="0" w:firstColumn="1" w:lastColumn="0" w:noHBand="0" w:noVBand="1"/>
      </w:tblPr>
      <w:tblGrid>
        <w:gridCol w:w="2468"/>
        <w:gridCol w:w="4627"/>
        <w:gridCol w:w="2391"/>
      </w:tblGrid>
      <w:tr w:rsidR="00E66558" w14:paraId="2A7D5519" w14:textId="77777777" w:rsidTr="0078092F">
        <w:tc>
          <w:tcPr>
            <w:tcW w:w="246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39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78092F">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34C528A" w:rsidR="00E66558" w:rsidRPr="00117424" w:rsidRDefault="00117424">
            <w:pPr>
              <w:pStyle w:val="TableRow"/>
            </w:pPr>
            <w:r w:rsidRPr="00117424">
              <w:rPr>
                <w:sz w:val="22"/>
                <w:szCs w:val="22"/>
              </w:rPr>
              <w:t>Quality First Teaching</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A3A2E" w14:textId="77777777" w:rsidR="00117424" w:rsidRPr="000E0D52" w:rsidRDefault="00117424" w:rsidP="00117424">
            <w:pPr>
              <w:pStyle w:val="TableRowCentered"/>
              <w:jc w:val="left"/>
              <w:rPr>
                <w:rFonts w:cs="Arial"/>
                <w:color w:val="000000" w:themeColor="text1"/>
                <w:szCs w:val="24"/>
                <w:shd w:val="clear" w:color="auto" w:fill="FFFFFF"/>
              </w:rPr>
            </w:pPr>
            <w:r w:rsidRPr="000E0D52">
              <w:rPr>
                <w:rFonts w:cs="Arial"/>
                <w:color w:val="000000" w:themeColor="text1"/>
                <w:szCs w:val="24"/>
                <w:shd w:val="clear" w:color="auto" w:fill="FFFFFF"/>
              </w:rPr>
              <w:t xml:space="preserve">The best available evidence indicates that great teaching is the most important lever schools </w:t>
            </w:r>
            <w:proofErr w:type="gramStart"/>
            <w:r w:rsidRPr="000E0D52">
              <w:rPr>
                <w:rFonts w:cs="Arial"/>
                <w:color w:val="000000" w:themeColor="text1"/>
                <w:szCs w:val="24"/>
                <w:shd w:val="clear" w:color="auto" w:fill="FFFFFF"/>
              </w:rPr>
              <w:t>have to</w:t>
            </w:r>
            <w:proofErr w:type="gramEnd"/>
            <w:r w:rsidRPr="000E0D52">
              <w:rPr>
                <w:rFonts w:cs="Arial"/>
                <w:color w:val="000000" w:themeColor="text1"/>
                <w:szCs w:val="24"/>
                <w:shd w:val="clear" w:color="auto" w:fill="FFFFFF"/>
              </w:rPr>
              <w:t xml:space="preserve"> improve pupil attainment. Ensuring every teacher is supported in delivering high-quality teaching is essential to achieving the best outcomes for all pupils, particularly the most disadvantaged among them.</w:t>
            </w:r>
          </w:p>
          <w:p w14:paraId="5296B041" w14:textId="77777777" w:rsidR="00117424" w:rsidRPr="000E0D52" w:rsidRDefault="00117424" w:rsidP="00117424">
            <w:pPr>
              <w:pStyle w:val="TableRowCentered"/>
              <w:jc w:val="left"/>
              <w:rPr>
                <w:rFonts w:cs="Arial"/>
                <w:color w:val="000000" w:themeColor="text1"/>
                <w:szCs w:val="24"/>
                <w:shd w:val="clear" w:color="auto" w:fill="FFFFFF"/>
              </w:rPr>
            </w:pPr>
          </w:p>
          <w:p w14:paraId="79F49AA1" w14:textId="77777777" w:rsidR="00117424" w:rsidRPr="000E0D52" w:rsidRDefault="00117424" w:rsidP="00117424">
            <w:pPr>
              <w:pStyle w:val="TableRowCentered"/>
              <w:jc w:val="left"/>
              <w:rPr>
                <w:rFonts w:cs="Arial"/>
                <w:color w:val="000000" w:themeColor="text1"/>
                <w:szCs w:val="24"/>
                <w:shd w:val="clear" w:color="auto" w:fill="FFFFFF"/>
              </w:rPr>
            </w:pPr>
            <w:r w:rsidRPr="000E0D52">
              <w:rPr>
                <w:rFonts w:cs="Arial"/>
                <w:color w:val="000000" w:themeColor="text1"/>
                <w:szCs w:val="24"/>
                <w:shd w:val="clear" w:color="auto" w:fill="FFFFFF"/>
              </w:rPr>
              <w:t>Teaching approaches that ensure long-term retention of knowledge, fluency in key skills, and confident use of metacognitive strategies are crucial.</w:t>
            </w:r>
          </w:p>
          <w:p w14:paraId="37DD1DB5" w14:textId="77777777" w:rsidR="00117424" w:rsidRDefault="00117424" w:rsidP="00117424">
            <w:pPr>
              <w:pStyle w:val="TableRowCentered"/>
              <w:jc w:val="left"/>
              <w:rPr>
                <w:rStyle w:val="Hyperlink"/>
              </w:rPr>
            </w:pPr>
            <w:hyperlink r:id="rId7" w:history="1">
              <w:r>
                <w:rPr>
                  <w:rStyle w:val="Hyperlink"/>
                </w:rPr>
                <w:t>High-quality teaching | EEF (educationendowmentfoundation.org.uk)</w:t>
              </w:r>
            </w:hyperlink>
          </w:p>
          <w:p w14:paraId="14938BF6" w14:textId="77777777" w:rsidR="00D76CF8" w:rsidRDefault="00D76CF8" w:rsidP="00117424">
            <w:pPr>
              <w:pStyle w:val="TableRowCentered"/>
              <w:jc w:val="left"/>
              <w:rPr>
                <w:rStyle w:val="Hyperlink"/>
              </w:rPr>
            </w:pPr>
          </w:p>
          <w:p w14:paraId="0BE38AAB" w14:textId="77777777" w:rsidR="00D76CF8" w:rsidRPr="00272E6A" w:rsidRDefault="00D76CF8" w:rsidP="00D76CF8">
            <w:pPr>
              <w:pStyle w:val="TableRowCentered"/>
              <w:jc w:val="left"/>
              <w:rPr>
                <w:szCs w:val="24"/>
              </w:rPr>
            </w:pPr>
            <w:r w:rsidRPr="00272E6A">
              <w:rPr>
                <w:szCs w:val="24"/>
              </w:rPr>
              <w:t xml:space="preserve">Studies in England have shown that disadvantaged pupils typically receive similar or slightly greater benefit from phonics approaches. </w:t>
            </w:r>
          </w:p>
          <w:p w14:paraId="334B8974" w14:textId="77777777" w:rsidR="00D76CF8" w:rsidRPr="00272E6A" w:rsidRDefault="00D76CF8" w:rsidP="00D76CF8">
            <w:pPr>
              <w:pStyle w:val="TableRowCentered"/>
              <w:jc w:val="left"/>
              <w:rPr>
                <w:szCs w:val="24"/>
              </w:rPr>
            </w:pPr>
          </w:p>
          <w:p w14:paraId="73E4FDFB" w14:textId="438EC94C" w:rsidR="00D76CF8" w:rsidRDefault="00D76CF8" w:rsidP="00D76CF8">
            <w:pPr>
              <w:pStyle w:val="TableRowCentered"/>
              <w:jc w:val="left"/>
              <w:rPr>
                <w:rStyle w:val="Hyperlink"/>
                <w:szCs w:val="24"/>
              </w:rPr>
            </w:pPr>
            <w:hyperlink r:id="rId8" w:history="1">
              <w:r w:rsidRPr="00272E6A">
                <w:rPr>
                  <w:rStyle w:val="Hyperlink"/>
                  <w:szCs w:val="24"/>
                </w:rPr>
                <w:t>Phonics | EEF (educationendowmentfoundation.org.uk)</w:t>
              </w:r>
            </w:hyperlink>
          </w:p>
          <w:p w14:paraId="76DFF9F1" w14:textId="77777777" w:rsidR="001171B1" w:rsidRDefault="001171B1" w:rsidP="00D76CF8">
            <w:pPr>
              <w:pStyle w:val="TableRowCentered"/>
              <w:jc w:val="left"/>
              <w:rPr>
                <w:rStyle w:val="Hyperlink"/>
                <w:szCs w:val="24"/>
              </w:rPr>
            </w:pPr>
          </w:p>
          <w:p w14:paraId="00AB85D3" w14:textId="77777777" w:rsidR="001171B1" w:rsidRPr="00E3235D" w:rsidRDefault="001171B1" w:rsidP="001171B1">
            <w:pPr>
              <w:pStyle w:val="TableRowCentered"/>
              <w:jc w:val="left"/>
              <w:rPr>
                <w:szCs w:val="24"/>
              </w:rPr>
            </w:pPr>
            <w:r w:rsidRPr="00E3235D">
              <w:rPr>
                <w:szCs w:val="24"/>
              </w:rPr>
              <w:t>Small group tuition targeted at specific needs and knowledge gaps can be an effective method to support low attaining pupils or those falling behind, with a +4 months of progress.</w:t>
            </w:r>
          </w:p>
          <w:p w14:paraId="3A4192DA" w14:textId="4F398DD9" w:rsidR="001171B1" w:rsidRDefault="001171B1" w:rsidP="001171B1">
            <w:pPr>
              <w:pStyle w:val="TableRowCentered"/>
              <w:jc w:val="left"/>
              <w:rPr>
                <w:rStyle w:val="Hyperlink"/>
                <w:szCs w:val="24"/>
              </w:rPr>
            </w:pPr>
            <w:hyperlink r:id="rId9" w:history="1">
              <w:r w:rsidRPr="00E3235D">
                <w:rPr>
                  <w:rStyle w:val="Hyperlink"/>
                  <w:szCs w:val="24"/>
                </w:rPr>
                <w:t>Small group tuition | EEF (educationendowmentfoundation.org.uk)</w:t>
              </w:r>
            </w:hyperlink>
          </w:p>
          <w:p w14:paraId="210B8E65" w14:textId="77777777" w:rsidR="00D76CF8" w:rsidRDefault="00D76CF8" w:rsidP="00117424">
            <w:pPr>
              <w:pStyle w:val="TableRowCentered"/>
              <w:jc w:val="left"/>
            </w:pPr>
          </w:p>
          <w:p w14:paraId="2A7D551B" w14:textId="77777777" w:rsidR="00E66558" w:rsidRDefault="00E66558">
            <w:pPr>
              <w:pStyle w:val="TableRowCentered"/>
              <w:jc w:val="left"/>
              <w:rPr>
                <w:sz w:val="22"/>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77BF4DE" w:rsidR="00E66558" w:rsidRDefault="00CE2AA6">
            <w:pPr>
              <w:pStyle w:val="TableRowCentered"/>
              <w:jc w:val="left"/>
              <w:rPr>
                <w:sz w:val="22"/>
              </w:rPr>
            </w:pPr>
            <w:r>
              <w:rPr>
                <w:sz w:val="22"/>
              </w:rPr>
              <w:lastRenderedPageBreak/>
              <w:t>2 and 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488"/>
        <w:gridCol w:w="4627"/>
        <w:gridCol w:w="2371"/>
      </w:tblGrid>
      <w:tr w:rsidR="00E66558" w14:paraId="2A7D5537" w14:textId="77777777" w:rsidTr="00E660B0">
        <w:tc>
          <w:tcPr>
            <w:tcW w:w="24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660B0">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4140BA0" w:rsidR="00E66558" w:rsidRDefault="006A0493">
            <w:pPr>
              <w:pStyle w:val="TableRow"/>
            </w:pPr>
            <w:r>
              <w:t>Establish a Bright Start Club to support families in approving attendance</w:t>
            </w:r>
            <w:r w:rsidR="00407D4E">
              <w:t xml:space="preserve"> and continue to employ a Families Worker</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E37B" w14:textId="77777777" w:rsidR="00A23D5D" w:rsidRDefault="00A23D5D" w:rsidP="00A23D5D">
            <w:pPr>
              <w:pStyle w:val="TableRowCentered"/>
              <w:ind w:left="0"/>
              <w:jc w:val="left"/>
            </w:pPr>
            <w:r>
              <w:t>Good behaviour and attendance are essential to children’s educational prospects.</w:t>
            </w:r>
          </w:p>
          <w:p w14:paraId="5FB0041B" w14:textId="77777777" w:rsidR="00A23D5D" w:rsidRDefault="00A23D5D" w:rsidP="00A23D5D">
            <w:pPr>
              <w:pStyle w:val="TableRowCentered"/>
              <w:ind w:left="0"/>
              <w:jc w:val="left"/>
            </w:pPr>
            <w:r>
              <w:t>The DfE guidance has been informed by engagement with schools that have significantly reduced levels of absence and persistent absence.</w:t>
            </w:r>
          </w:p>
          <w:p w14:paraId="4B3E547D" w14:textId="77777777" w:rsidR="00A23D5D" w:rsidRDefault="00A23D5D" w:rsidP="00A23D5D">
            <w:pPr>
              <w:pStyle w:val="TableRowCentered"/>
              <w:ind w:left="0"/>
              <w:jc w:val="left"/>
              <w:rPr>
                <w:rStyle w:val="Hyperlink"/>
              </w:rPr>
            </w:pPr>
            <w:hyperlink r:id="rId10" w:history="1">
              <w:r>
                <w:rPr>
                  <w:rStyle w:val="Hyperlink"/>
                </w:rPr>
                <w:t>Working together to improve school attendance - GOV.UK (www.gov.uk)</w:t>
              </w:r>
            </w:hyperlink>
          </w:p>
          <w:p w14:paraId="67685787" w14:textId="77777777" w:rsidR="00A23D5D" w:rsidRDefault="00A23D5D" w:rsidP="00A23D5D">
            <w:pPr>
              <w:pStyle w:val="TableRowCentered"/>
              <w:ind w:left="0"/>
              <w:jc w:val="left"/>
              <w:rPr>
                <w:rStyle w:val="Hyperlink"/>
              </w:rPr>
            </w:pPr>
          </w:p>
          <w:p w14:paraId="654443C1" w14:textId="313C0A6A" w:rsidR="00336545" w:rsidRPr="00E3235D" w:rsidRDefault="00336545" w:rsidP="00A23D5D">
            <w:pPr>
              <w:pStyle w:val="TableRowCentered"/>
              <w:ind w:left="0"/>
              <w:jc w:val="left"/>
              <w:rPr>
                <w:rFonts w:cs="Arial"/>
                <w:color w:val="auto"/>
                <w:szCs w:val="24"/>
                <w:shd w:val="clear" w:color="auto" w:fill="FFFFFF"/>
              </w:rPr>
            </w:pPr>
            <w:r w:rsidRPr="00E3235D">
              <w:rPr>
                <w:rFonts w:cs="Arial"/>
                <w:color w:val="auto"/>
                <w:szCs w:val="24"/>
                <w:shd w:val="clear" w:color="auto" w:fill="FFFFFF"/>
              </w:rPr>
              <w:t xml:space="preserve">Oral language interventions </w:t>
            </w:r>
            <w:r>
              <w:rPr>
                <w:rFonts w:cs="Arial"/>
                <w:color w:val="auto"/>
                <w:szCs w:val="24"/>
                <w:shd w:val="clear" w:color="auto" w:fill="FFFFFF"/>
              </w:rPr>
              <w:t xml:space="preserve">can lead to </w:t>
            </w:r>
            <w:r w:rsidRPr="00E3235D">
              <w:rPr>
                <w:rFonts w:cs="Arial"/>
                <w:color w:val="auto"/>
                <w:szCs w:val="24"/>
                <w:shd w:val="clear" w:color="auto" w:fill="FFFFFF"/>
              </w:rPr>
              <w:t xml:space="preserve">approximately an additional six months’ progress over the course of a year. </w:t>
            </w:r>
          </w:p>
          <w:p w14:paraId="06E81D1B" w14:textId="77777777" w:rsidR="00336545" w:rsidRPr="00E3235D" w:rsidRDefault="00336545" w:rsidP="00A23D5D">
            <w:pPr>
              <w:pStyle w:val="TableRowCentered"/>
              <w:ind w:left="0"/>
              <w:jc w:val="left"/>
              <w:rPr>
                <w:rFonts w:cs="Arial"/>
                <w:color w:val="auto"/>
                <w:szCs w:val="24"/>
                <w:shd w:val="clear" w:color="auto" w:fill="FFFFFF"/>
              </w:rPr>
            </w:pPr>
            <w:r w:rsidRPr="00E3235D">
              <w:rPr>
                <w:rFonts w:cs="Arial"/>
                <w:color w:val="auto"/>
                <w:szCs w:val="24"/>
                <w:shd w:val="clear" w:color="auto" w:fill="FFFFFF"/>
              </w:rPr>
              <w:t>Approaches that focus on speaking, listening and a combination of the two all show positive impacts on attainment.</w:t>
            </w:r>
          </w:p>
          <w:p w14:paraId="11B14E0F" w14:textId="77777777" w:rsidR="00336545" w:rsidRPr="00272E6A" w:rsidRDefault="00336545" w:rsidP="00336545">
            <w:pPr>
              <w:pBdr>
                <w:top w:val="single" w:sz="2" w:space="0" w:color="EEEEEE"/>
                <w:left w:val="single" w:sz="2" w:space="0" w:color="EEEEEE"/>
                <w:bottom w:val="single" w:sz="2" w:space="0" w:color="EEEEEE"/>
                <w:right w:val="single" w:sz="2" w:space="0" w:color="EEEEEE"/>
              </w:pBdr>
              <w:shd w:val="clear" w:color="auto" w:fill="FFFFFF"/>
              <w:suppressAutoHyphens w:val="0"/>
              <w:autoSpaceDN/>
              <w:spacing w:after="288" w:line="240" w:lineRule="auto"/>
              <w:rPr>
                <w:rFonts w:cs="Arial"/>
                <w:color w:val="auto"/>
              </w:rPr>
            </w:pPr>
            <w:r w:rsidRPr="004A7624">
              <w:rPr>
                <w:rFonts w:cs="Arial"/>
                <w:color w:val="auto"/>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r w:rsidRPr="00272E6A">
              <w:rPr>
                <w:rFonts w:cs="Arial"/>
                <w:color w:val="auto"/>
              </w:rPr>
              <w:t>.</w:t>
            </w:r>
          </w:p>
          <w:p w14:paraId="5A0C403B" w14:textId="77777777" w:rsidR="00336545" w:rsidRPr="00272E6A" w:rsidRDefault="00336545" w:rsidP="00336545">
            <w:pPr>
              <w:pBdr>
                <w:top w:val="single" w:sz="2" w:space="0" w:color="EEEEEE"/>
                <w:left w:val="single" w:sz="2" w:space="0" w:color="EEEEEE"/>
                <w:bottom w:val="single" w:sz="2" w:space="0" w:color="EEEEEE"/>
                <w:right w:val="single" w:sz="2" w:space="0" w:color="EEEEEE"/>
              </w:pBdr>
              <w:shd w:val="clear" w:color="auto" w:fill="FFFFFF"/>
              <w:suppressAutoHyphens w:val="0"/>
              <w:autoSpaceDN/>
              <w:spacing w:before="288" w:after="0" w:line="240" w:lineRule="auto"/>
              <w:rPr>
                <w:rFonts w:cs="Arial"/>
                <w:color w:val="auto"/>
              </w:rPr>
            </w:pPr>
            <w:r w:rsidRPr="00272E6A">
              <w:rPr>
                <w:rFonts w:cs="Arial"/>
                <w:color w:val="auto"/>
              </w:rPr>
              <w:t>Given that Oral language interventions can be used to provide additional support to pupils who are behind their peers in oral language development, the targeted use of approaches may support some disadvantaged pupils to catch up with peers, particularly when this is provided one-to-one.</w:t>
            </w:r>
          </w:p>
          <w:p w14:paraId="2A7D5539" w14:textId="23090CC6" w:rsidR="00E66558" w:rsidRDefault="00336545" w:rsidP="00336545">
            <w:pPr>
              <w:pStyle w:val="TableRowCentered"/>
              <w:jc w:val="left"/>
              <w:rPr>
                <w:sz w:val="22"/>
              </w:rPr>
            </w:pPr>
            <w:hyperlink r:id="rId11" w:history="1">
              <w:r w:rsidRPr="00E3235D">
                <w:rPr>
                  <w:rStyle w:val="Hyperlink"/>
                  <w:szCs w:val="24"/>
                </w:rPr>
                <w:t>Oral language interventions | EEF (educationendowmentfoundation.org.uk)</w:t>
              </w:r>
            </w:hyperlink>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3CDDF2B" w:rsidR="00E66558" w:rsidRDefault="00340EAE">
            <w:pPr>
              <w:pStyle w:val="TableRowCentered"/>
              <w:jc w:val="left"/>
              <w:rPr>
                <w:sz w:val="22"/>
              </w:rPr>
            </w:pPr>
            <w:r>
              <w:rPr>
                <w:sz w:val="22"/>
              </w:rPr>
              <w:t>1, 3 and 4</w:t>
            </w:r>
          </w:p>
        </w:tc>
      </w:tr>
    </w:tbl>
    <w:p w14:paraId="2A7D555F" w14:textId="4A333C37" w:rsidR="00E66558" w:rsidRDefault="009D71E8" w:rsidP="00E660B0">
      <w:r>
        <w:rPr>
          <w:b/>
          <w:bCs/>
          <w:color w:val="104F75"/>
          <w:sz w:val="28"/>
          <w:szCs w:val="28"/>
        </w:rPr>
        <w:t xml:space="preserve">Total budgeted cost: </w:t>
      </w:r>
      <w:r w:rsidR="006416A0" w:rsidRPr="00E660B0">
        <w:rPr>
          <w:b/>
          <w:bCs/>
        </w:rPr>
        <w:t>£46,471</w:t>
      </w:r>
      <w:bookmarkEnd w:id="14"/>
      <w:bookmarkEnd w:id="15"/>
      <w:bookmarkEnd w:id="16"/>
    </w:p>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D028" w14:textId="77777777" w:rsidR="00AE5182" w:rsidRDefault="00AE5182">
      <w:pPr>
        <w:spacing w:after="0" w:line="240" w:lineRule="auto"/>
      </w:pPr>
      <w:r>
        <w:separator/>
      </w:r>
    </w:p>
  </w:endnote>
  <w:endnote w:type="continuationSeparator" w:id="0">
    <w:p w14:paraId="36D6A65E" w14:textId="77777777" w:rsidR="00AE5182" w:rsidRDefault="00AE5182">
      <w:pPr>
        <w:spacing w:after="0" w:line="240" w:lineRule="auto"/>
      </w:pPr>
      <w:r>
        <w:continuationSeparator/>
      </w:r>
    </w:p>
  </w:endnote>
  <w:endnote w:type="continuationNotice" w:id="1">
    <w:p w14:paraId="52303FBD" w14:textId="77777777" w:rsidR="00AE5182" w:rsidRDefault="00AE5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7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2007" w14:textId="77777777" w:rsidR="00AE5182" w:rsidRDefault="00AE5182">
      <w:pPr>
        <w:spacing w:after="0" w:line="240" w:lineRule="auto"/>
      </w:pPr>
      <w:r>
        <w:separator/>
      </w:r>
    </w:p>
  </w:footnote>
  <w:footnote w:type="continuationSeparator" w:id="0">
    <w:p w14:paraId="46037AEA" w14:textId="77777777" w:rsidR="00AE5182" w:rsidRDefault="00AE5182">
      <w:pPr>
        <w:spacing w:after="0" w:line="240" w:lineRule="auto"/>
      </w:pPr>
      <w:r>
        <w:continuationSeparator/>
      </w:r>
    </w:p>
  </w:footnote>
  <w:footnote w:type="continuationNotice" w:id="1">
    <w:p w14:paraId="26243944" w14:textId="77777777" w:rsidR="00AE5182" w:rsidRDefault="00AE5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9"/>
  </w:num>
  <w:num w:numId="8" w16cid:durableId="982348153">
    <w:abstractNumId w:val="13"/>
  </w:num>
  <w:num w:numId="9" w16cid:durableId="1529290868">
    <w:abstractNumId w:val="11"/>
  </w:num>
  <w:num w:numId="10" w16cid:durableId="1171066271">
    <w:abstractNumId w:val="10"/>
  </w:num>
  <w:num w:numId="11" w16cid:durableId="1453552857">
    <w:abstractNumId w:val="2"/>
  </w:num>
  <w:num w:numId="12" w16cid:durableId="1812097430">
    <w:abstractNumId w:val="12"/>
  </w:num>
  <w:num w:numId="13" w16cid:durableId="42288650">
    <w:abstractNumId w:val="8"/>
  </w:num>
  <w:num w:numId="14" w16cid:durableId="1721712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14EC7"/>
    <w:rsid w:val="00023729"/>
    <w:rsid w:val="000243B4"/>
    <w:rsid w:val="0002530E"/>
    <w:rsid w:val="0002710D"/>
    <w:rsid w:val="00036678"/>
    <w:rsid w:val="000452EB"/>
    <w:rsid w:val="00045603"/>
    <w:rsid w:val="000463AE"/>
    <w:rsid w:val="000507A3"/>
    <w:rsid w:val="000561C8"/>
    <w:rsid w:val="00060A62"/>
    <w:rsid w:val="00064366"/>
    <w:rsid w:val="00066B73"/>
    <w:rsid w:val="00071481"/>
    <w:rsid w:val="00075FAE"/>
    <w:rsid w:val="00082F38"/>
    <w:rsid w:val="000837DB"/>
    <w:rsid w:val="0008384B"/>
    <w:rsid w:val="000929EC"/>
    <w:rsid w:val="00093B15"/>
    <w:rsid w:val="00093CDE"/>
    <w:rsid w:val="000A5C58"/>
    <w:rsid w:val="000A6379"/>
    <w:rsid w:val="000B0D49"/>
    <w:rsid w:val="000B203E"/>
    <w:rsid w:val="000D22B0"/>
    <w:rsid w:val="000D35C9"/>
    <w:rsid w:val="000D520C"/>
    <w:rsid w:val="000D6596"/>
    <w:rsid w:val="000D6779"/>
    <w:rsid w:val="000E6DF0"/>
    <w:rsid w:val="00100274"/>
    <w:rsid w:val="001037CB"/>
    <w:rsid w:val="0010629E"/>
    <w:rsid w:val="00114288"/>
    <w:rsid w:val="00115538"/>
    <w:rsid w:val="00116FA8"/>
    <w:rsid w:val="001171B1"/>
    <w:rsid w:val="00117424"/>
    <w:rsid w:val="00120AB1"/>
    <w:rsid w:val="00123A7F"/>
    <w:rsid w:val="001278D0"/>
    <w:rsid w:val="00127F72"/>
    <w:rsid w:val="00140646"/>
    <w:rsid w:val="00147770"/>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A6750"/>
    <w:rsid w:val="001B1659"/>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59C4"/>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4AA4"/>
    <w:rsid w:val="00295842"/>
    <w:rsid w:val="00296AB7"/>
    <w:rsid w:val="002A32D1"/>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2880"/>
    <w:rsid w:val="00336200"/>
    <w:rsid w:val="00336545"/>
    <w:rsid w:val="00337418"/>
    <w:rsid w:val="00340EAE"/>
    <w:rsid w:val="00351D83"/>
    <w:rsid w:val="00352197"/>
    <w:rsid w:val="00353E46"/>
    <w:rsid w:val="003576C4"/>
    <w:rsid w:val="0036277A"/>
    <w:rsid w:val="00366AB0"/>
    <w:rsid w:val="003700E8"/>
    <w:rsid w:val="003704EE"/>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3E6528"/>
    <w:rsid w:val="004044AA"/>
    <w:rsid w:val="004044C8"/>
    <w:rsid w:val="00404F3F"/>
    <w:rsid w:val="00407D4E"/>
    <w:rsid w:val="00410B5D"/>
    <w:rsid w:val="00413BEC"/>
    <w:rsid w:val="0042265E"/>
    <w:rsid w:val="00424ED7"/>
    <w:rsid w:val="00425258"/>
    <w:rsid w:val="00426217"/>
    <w:rsid w:val="00431A80"/>
    <w:rsid w:val="00435A89"/>
    <w:rsid w:val="00452267"/>
    <w:rsid w:val="00453307"/>
    <w:rsid w:val="00455A02"/>
    <w:rsid w:val="00457E36"/>
    <w:rsid w:val="00460124"/>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255F"/>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3701E"/>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130"/>
    <w:rsid w:val="005F16B6"/>
    <w:rsid w:val="005F5224"/>
    <w:rsid w:val="00600B2E"/>
    <w:rsid w:val="00601122"/>
    <w:rsid w:val="00606521"/>
    <w:rsid w:val="00607CEB"/>
    <w:rsid w:val="00613299"/>
    <w:rsid w:val="0061762D"/>
    <w:rsid w:val="00634238"/>
    <w:rsid w:val="00635FBC"/>
    <w:rsid w:val="00637728"/>
    <w:rsid w:val="0064113A"/>
    <w:rsid w:val="0064167B"/>
    <w:rsid w:val="006416A0"/>
    <w:rsid w:val="00644002"/>
    <w:rsid w:val="006458B1"/>
    <w:rsid w:val="00650529"/>
    <w:rsid w:val="00650BAB"/>
    <w:rsid w:val="00651737"/>
    <w:rsid w:val="006652DD"/>
    <w:rsid w:val="006671BF"/>
    <w:rsid w:val="00672A7D"/>
    <w:rsid w:val="00681416"/>
    <w:rsid w:val="006A0493"/>
    <w:rsid w:val="006A06F5"/>
    <w:rsid w:val="006A0ED2"/>
    <w:rsid w:val="006A798A"/>
    <w:rsid w:val="006B0A73"/>
    <w:rsid w:val="006B5A6B"/>
    <w:rsid w:val="006C06BD"/>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2DEA"/>
    <w:rsid w:val="006F5319"/>
    <w:rsid w:val="006F55FD"/>
    <w:rsid w:val="006F5D21"/>
    <w:rsid w:val="007109F6"/>
    <w:rsid w:val="00711BE3"/>
    <w:rsid w:val="00720FF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092F"/>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3C9B"/>
    <w:rsid w:val="008C4CD6"/>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0F8A"/>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150C2"/>
    <w:rsid w:val="00A23D5D"/>
    <w:rsid w:val="00A33636"/>
    <w:rsid w:val="00A44FBB"/>
    <w:rsid w:val="00A50104"/>
    <w:rsid w:val="00A522E0"/>
    <w:rsid w:val="00A52823"/>
    <w:rsid w:val="00A52837"/>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3FB5"/>
    <w:rsid w:val="00AD7B5A"/>
    <w:rsid w:val="00AE229F"/>
    <w:rsid w:val="00AE5182"/>
    <w:rsid w:val="00AF5E20"/>
    <w:rsid w:val="00B002FA"/>
    <w:rsid w:val="00B00327"/>
    <w:rsid w:val="00B024B3"/>
    <w:rsid w:val="00B11DE8"/>
    <w:rsid w:val="00B179ED"/>
    <w:rsid w:val="00B20E18"/>
    <w:rsid w:val="00B331E1"/>
    <w:rsid w:val="00B572C4"/>
    <w:rsid w:val="00B60858"/>
    <w:rsid w:val="00B74D4E"/>
    <w:rsid w:val="00B80219"/>
    <w:rsid w:val="00B80AA9"/>
    <w:rsid w:val="00B87184"/>
    <w:rsid w:val="00B91453"/>
    <w:rsid w:val="00BA19A5"/>
    <w:rsid w:val="00BA55EB"/>
    <w:rsid w:val="00BC078B"/>
    <w:rsid w:val="00BC3557"/>
    <w:rsid w:val="00BC3A7D"/>
    <w:rsid w:val="00BC67F6"/>
    <w:rsid w:val="00BD07EA"/>
    <w:rsid w:val="00BD2004"/>
    <w:rsid w:val="00BD4B12"/>
    <w:rsid w:val="00BD700D"/>
    <w:rsid w:val="00BE2F92"/>
    <w:rsid w:val="00BE44AC"/>
    <w:rsid w:val="00BF0D5F"/>
    <w:rsid w:val="00BF59B3"/>
    <w:rsid w:val="00BF6F95"/>
    <w:rsid w:val="00C10BCF"/>
    <w:rsid w:val="00C11EB4"/>
    <w:rsid w:val="00C12746"/>
    <w:rsid w:val="00C17E21"/>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1108"/>
    <w:rsid w:val="00C97A7F"/>
    <w:rsid w:val="00CA4421"/>
    <w:rsid w:val="00CA5363"/>
    <w:rsid w:val="00CA7D07"/>
    <w:rsid w:val="00CB24A4"/>
    <w:rsid w:val="00CB5B17"/>
    <w:rsid w:val="00CC4443"/>
    <w:rsid w:val="00CC5CAF"/>
    <w:rsid w:val="00CE2AA6"/>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764F3"/>
    <w:rsid w:val="00D76CF8"/>
    <w:rsid w:val="00D81325"/>
    <w:rsid w:val="00D875ED"/>
    <w:rsid w:val="00D877D0"/>
    <w:rsid w:val="00D90013"/>
    <w:rsid w:val="00D91208"/>
    <w:rsid w:val="00D91B9C"/>
    <w:rsid w:val="00D92C1B"/>
    <w:rsid w:val="00D94CC7"/>
    <w:rsid w:val="00DA1AF4"/>
    <w:rsid w:val="00DB0C60"/>
    <w:rsid w:val="00DC641A"/>
    <w:rsid w:val="00DD21A1"/>
    <w:rsid w:val="00DD6B7D"/>
    <w:rsid w:val="00DD6C28"/>
    <w:rsid w:val="00DD6E14"/>
    <w:rsid w:val="00DE15AC"/>
    <w:rsid w:val="00DF2015"/>
    <w:rsid w:val="00E061EC"/>
    <w:rsid w:val="00E10E81"/>
    <w:rsid w:val="00E13E51"/>
    <w:rsid w:val="00E21F56"/>
    <w:rsid w:val="00E3014F"/>
    <w:rsid w:val="00E4286E"/>
    <w:rsid w:val="00E43EAD"/>
    <w:rsid w:val="00E62DCB"/>
    <w:rsid w:val="00E651DD"/>
    <w:rsid w:val="00E65D21"/>
    <w:rsid w:val="00E660B0"/>
    <w:rsid w:val="00E66558"/>
    <w:rsid w:val="00E70D81"/>
    <w:rsid w:val="00E726A6"/>
    <w:rsid w:val="00E73418"/>
    <w:rsid w:val="00E8109E"/>
    <w:rsid w:val="00E86F05"/>
    <w:rsid w:val="00E877B1"/>
    <w:rsid w:val="00EA360A"/>
    <w:rsid w:val="00EA3A2A"/>
    <w:rsid w:val="00EB4556"/>
    <w:rsid w:val="00EB64C8"/>
    <w:rsid w:val="00EC71EF"/>
    <w:rsid w:val="00ED4136"/>
    <w:rsid w:val="00ED5108"/>
    <w:rsid w:val="00ED6AE8"/>
    <w:rsid w:val="00EE2CB2"/>
    <w:rsid w:val="00F012CA"/>
    <w:rsid w:val="00F01752"/>
    <w:rsid w:val="00F017D2"/>
    <w:rsid w:val="00F0355A"/>
    <w:rsid w:val="00F05C44"/>
    <w:rsid w:val="00F15753"/>
    <w:rsid w:val="00F15FD2"/>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phonics?utm_source=/education-evidence/teaching-learning-toolkit/phonics&amp;utm_medium=search&amp;utm_campaign=site_search&amp;search_term=Phon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support-for-schools/school-planning-support/1-high-quality-teaching?utm_source=/support-for-schools/school-planning-support/1-high-quality-teaching&amp;utm_medium=search&amp;utm_campaign=site_search&amp;search_term=high-q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utm_source=/education-evidence/teaching-learning-toolkit/oral-language-interventions&amp;utm_medium=search&amp;utm_campaign=site_search&amp;search_term=oral%20l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working-together-to-improve-school-attendance"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20tu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9313043 headteacher.3043</cp:lastModifiedBy>
  <cp:revision>4</cp:revision>
  <cp:lastPrinted>2014-09-18T05:26:00Z</cp:lastPrinted>
  <dcterms:created xsi:type="dcterms:W3CDTF">2024-01-23T07:34:00Z</dcterms:created>
  <dcterms:modified xsi:type="dcterms:W3CDTF">2024-01-23T07:36:00Z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